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49" w:rsidRDefault="007468A5" w:rsidP="00CF45E2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D87549">
        <w:rPr>
          <w:sz w:val="28"/>
          <w:szCs w:val="28"/>
        </w:rPr>
        <w:t xml:space="preserve"> об о</w:t>
      </w:r>
      <w:r w:rsidR="00D87549" w:rsidRPr="00D87549">
        <w:rPr>
          <w:sz w:val="28"/>
          <w:szCs w:val="28"/>
        </w:rPr>
        <w:t>сновны</w:t>
      </w:r>
      <w:r w:rsidR="00D87549">
        <w:rPr>
          <w:sz w:val="28"/>
          <w:szCs w:val="28"/>
        </w:rPr>
        <w:t>х</w:t>
      </w:r>
      <w:r w:rsidR="00D87549" w:rsidRPr="00D87549">
        <w:rPr>
          <w:sz w:val="28"/>
          <w:szCs w:val="28"/>
        </w:rPr>
        <w:t xml:space="preserve"> направления</w:t>
      </w:r>
      <w:r w:rsidR="00D87549">
        <w:rPr>
          <w:sz w:val="28"/>
          <w:szCs w:val="28"/>
        </w:rPr>
        <w:t>х</w:t>
      </w:r>
      <w:r w:rsidR="00D87549" w:rsidRPr="00D87549">
        <w:rPr>
          <w:sz w:val="28"/>
          <w:szCs w:val="28"/>
        </w:rPr>
        <w:t xml:space="preserve"> налоговой политики</w:t>
      </w:r>
    </w:p>
    <w:p w:rsidR="00651C04" w:rsidRDefault="00077D5C" w:rsidP="00CF45E2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  <w:r w:rsidR="00D87549" w:rsidRPr="00D87549">
        <w:rPr>
          <w:sz w:val="28"/>
          <w:szCs w:val="28"/>
        </w:rPr>
        <w:t xml:space="preserve"> на 20</w:t>
      </w:r>
      <w:r w:rsidR="004E1B44">
        <w:rPr>
          <w:sz w:val="28"/>
          <w:szCs w:val="28"/>
        </w:rPr>
        <w:t>2</w:t>
      </w:r>
      <w:r w:rsidR="00EF428C">
        <w:rPr>
          <w:sz w:val="28"/>
          <w:szCs w:val="28"/>
        </w:rPr>
        <w:t>3</w:t>
      </w:r>
      <w:r w:rsidR="00D87549" w:rsidRPr="00D87549">
        <w:rPr>
          <w:sz w:val="28"/>
          <w:szCs w:val="28"/>
        </w:rPr>
        <w:t xml:space="preserve"> год и плановый период 202</w:t>
      </w:r>
      <w:r w:rsidR="00EF428C">
        <w:rPr>
          <w:sz w:val="28"/>
          <w:szCs w:val="28"/>
        </w:rPr>
        <w:t>4</w:t>
      </w:r>
      <w:r w:rsidR="00D87549" w:rsidRPr="00D87549">
        <w:rPr>
          <w:sz w:val="28"/>
          <w:szCs w:val="28"/>
        </w:rPr>
        <w:t xml:space="preserve"> и 202</w:t>
      </w:r>
      <w:r w:rsidR="00EF428C">
        <w:rPr>
          <w:sz w:val="28"/>
          <w:szCs w:val="28"/>
        </w:rPr>
        <w:t>5</w:t>
      </w:r>
      <w:r w:rsidR="00D87549" w:rsidRPr="00D87549">
        <w:rPr>
          <w:sz w:val="28"/>
          <w:szCs w:val="28"/>
        </w:rPr>
        <w:t xml:space="preserve"> годов</w:t>
      </w:r>
    </w:p>
    <w:p w:rsidR="007468A5" w:rsidRPr="00051E84" w:rsidRDefault="00005436" w:rsidP="00CF45E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68A5" w:rsidRPr="00051E84">
        <w:rPr>
          <w:sz w:val="28"/>
          <w:szCs w:val="28"/>
        </w:rPr>
        <w:t>(</w:t>
      </w:r>
      <w:r w:rsidR="00EF428C">
        <w:rPr>
          <w:sz w:val="28"/>
          <w:szCs w:val="28"/>
        </w:rPr>
        <w:t>Данилова Н.А. – начальник финансового отдела администрации Александровского района</w:t>
      </w:r>
      <w:r w:rsidR="007468A5" w:rsidRPr="00051E84">
        <w:rPr>
          <w:sz w:val="28"/>
          <w:szCs w:val="28"/>
        </w:rPr>
        <w:t>)</w:t>
      </w:r>
    </w:p>
    <w:p w:rsidR="00AC3609" w:rsidRDefault="00AC3609" w:rsidP="00CF45E2">
      <w:pPr>
        <w:ind w:firstLine="709"/>
        <w:jc w:val="both"/>
        <w:rPr>
          <w:sz w:val="28"/>
          <w:szCs w:val="28"/>
        </w:rPr>
      </w:pPr>
    </w:p>
    <w:p w:rsidR="00CF45E2" w:rsidRDefault="00EF428C" w:rsidP="00CF45E2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EF428C">
        <w:rPr>
          <w:rFonts w:eastAsia="Calibri"/>
          <w:bCs/>
          <w:sz w:val="28"/>
          <w:szCs w:val="28"/>
          <w:lang w:eastAsia="en-US" w:bidi="ru-RU"/>
        </w:rPr>
        <w:t>Исполнение консолидированного бюджета Александровского района за I полугодие 2022 года характеризуется следующими особенностями:</w:t>
      </w:r>
    </w:p>
    <w:p w:rsidR="00EF428C" w:rsidRPr="00EF428C" w:rsidRDefault="00CF45E2" w:rsidP="00CF45E2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- 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t>снижением поступлений налога на доходы физических лиц, который связан с сокращением численности работающих и снижением фонда оплаты труда;</w:t>
      </w:r>
    </w:p>
    <w:p w:rsidR="00EF428C" w:rsidRPr="00EF428C" w:rsidRDefault="00CF45E2" w:rsidP="00CF45E2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- 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t>ростом поступлений налогов на совокупный доход;</w:t>
      </w:r>
    </w:p>
    <w:p w:rsidR="00EF428C" w:rsidRPr="00EF428C" w:rsidRDefault="00CF45E2" w:rsidP="00CF45E2">
      <w:pPr>
        <w:widowControl w:val="0"/>
        <w:spacing w:line="360" w:lineRule="auto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- 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t>сохранением поступлений по государственной пошлине.</w:t>
      </w:r>
    </w:p>
    <w:p w:rsidR="00EF428C" w:rsidRPr="00EF428C" w:rsidRDefault="00EF428C" w:rsidP="00CF45E2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EF428C">
        <w:rPr>
          <w:rFonts w:eastAsia="Calibri"/>
          <w:bCs/>
          <w:sz w:val="28"/>
          <w:szCs w:val="28"/>
          <w:lang w:eastAsia="en-US" w:bidi="ru-RU"/>
        </w:rPr>
        <w:t>На исполнение консолидированного бюджета Александровского района в текущем году оказывают влияние изменения законодательства Российской Ф</w:t>
      </w:r>
      <w:r w:rsidR="00CF45E2">
        <w:rPr>
          <w:rFonts w:eastAsia="Calibri"/>
          <w:bCs/>
          <w:sz w:val="28"/>
          <w:szCs w:val="28"/>
          <w:lang w:eastAsia="en-US" w:bidi="ru-RU"/>
        </w:rPr>
        <w:t>едерации и Оренбургской области:</w:t>
      </w:r>
    </w:p>
    <w:p w:rsidR="00EF428C" w:rsidRPr="00EF428C" w:rsidRDefault="00CF45E2" w:rsidP="00CF45E2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- 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t>установление с 1 января 2021 года в отношении доходов (включая дивиденды и проценты) физических лиц, превышающих 5 млн. рублей за налоговый период, налоговая ставка по налогу на доходы физических лиц установлена в размере 15 процентов;</w:t>
      </w:r>
    </w:p>
    <w:p w:rsidR="00EF428C" w:rsidRPr="00EF428C" w:rsidRDefault="00CF45E2" w:rsidP="00CF45E2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- 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t>увеличение с 1 января 2021 года для организаций и индивидуальных предпринимателей, применяющих упрощенную систему налогообложения, лимита, позволяющего оставаться на упрощенной системе налогообложения, по доходам – до 200 млн. рублей и по средней численности персонала – до 130 человек;</w:t>
      </w:r>
    </w:p>
    <w:p w:rsidR="00EF428C" w:rsidRPr="00EF428C" w:rsidRDefault="00EF428C" w:rsidP="00CF45E2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EF428C">
        <w:rPr>
          <w:rFonts w:eastAsia="Calibri"/>
          <w:bCs/>
          <w:sz w:val="28"/>
          <w:szCs w:val="28"/>
          <w:lang w:eastAsia="en-US" w:bidi="ru-RU"/>
        </w:rPr>
        <w:t xml:space="preserve">значительное расширение с 1 января 2021 года перечня видов предпринимательской деятельности, в отношении которых на территории Оренбургской области может применяться патентная система налогообложения (Закон Оренбургской области от 26 ноября 2020 года             № 2497/693- </w:t>
      </w:r>
      <w:r w:rsidRPr="00EF428C">
        <w:rPr>
          <w:rFonts w:eastAsia="Calibri"/>
          <w:bCs/>
          <w:sz w:val="28"/>
          <w:szCs w:val="28"/>
          <w:lang w:val="en-US" w:eastAsia="en-US" w:bidi="ru-RU"/>
        </w:rPr>
        <w:t>IV</w:t>
      </w:r>
      <w:r w:rsidRPr="00EF428C">
        <w:rPr>
          <w:rFonts w:eastAsia="Calibri"/>
          <w:bCs/>
          <w:sz w:val="28"/>
          <w:szCs w:val="28"/>
          <w:lang w:eastAsia="en-US" w:bidi="ru-RU"/>
        </w:rPr>
        <w:t xml:space="preserve"> –ОЗ «О внесении изменений в Закон Оренбургской области «О патентной системе налогообложения»);</w:t>
      </w:r>
    </w:p>
    <w:p w:rsidR="00EF428C" w:rsidRPr="00EF428C" w:rsidRDefault="00CF45E2" w:rsidP="00CF45E2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- 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t>в целях поддержки субъектов малого и среднего предпринимательства Федеральным законом от 23 ноября 2020 года № 373-ФЗ «О внесении изме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softHyphen/>
        <w:t>нений в главы 26.2 и 26.5 части второй Налогового кодекса Российской Фе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softHyphen/>
        <w:t>дерации и статью 2 Федерального закона «О применении контрольно-кассовой техники при осуществлении расчетов в Российской Федерации» внесены изменения в статью 346.51 Налогового кодекса Российской Федера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softHyphen/>
        <w:t>ции, согласно которым начиная с 2021 года при применении патентной сис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softHyphen/>
        <w:t>темы налогообложения размер налога уменьшается на сумму страховых взносов: до 100 процентов от стоимости патента - для индивидуальных предпринимателей без работников и до 50 процентов - для индивидуальных предпринимателей с наемными работниками;</w:t>
      </w:r>
    </w:p>
    <w:p w:rsidR="00EF428C" w:rsidRPr="00EF428C" w:rsidRDefault="00CF45E2" w:rsidP="00CF45E2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- 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t>продление до 1 января 2025 года продлено действие нулевой налоговой ставки для впервые зарегистрированных индивидуальных предпринима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lastRenderedPageBreak/>
        <w:t>телей при применении упрощенной системы налогообложения и патентной системы налогообложения и осуществляющих деятельность в производственной, со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softHyphen/>
        <w:t>циальной, научной сферах, сфере бытовых услуг населению и услуг по пре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softHyphen/>
        <w:t>доставлению мест для временного проживания. Указанная мера действует в течение двух налоговых периодов с момента государственной регистрации в качестве индивидуального предпринимателя;</w:t>
      </w:r>
    </w:p>
    <w:p w:rsidR="00EF428C" w:rsidRPr="00EF428C" w:rsidRDefault="00CF45E2" w:rsidP="00CF45E2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- 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t>прекращение с 1 января 2021 года на территории Российской Федерации действия специального налогового режима – системы налогообложения в виде единого налога на вмененный доход для отдельных видов деятельности (пункт 8 статьи 5 Федерального закона от 29 июня 2012 года № 97 –ФЗ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деятельности»);</w:t>
      </w:r>
    </w:p>
    <w:p w:rsidR="00EF428C" w:rsidRPr="00EF428C" w:rsidRDefault="00CF45E2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- 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t>освобождение с 1 января 2021 года от обложения налогом на имущество организаций вновь созданного имущества негосударственных и немуниципальных организаций, которое используется для нужд физической культуры и спорта, а также имущества организаций, которое используется непосредственно для производства, переработки и хранения сельскохозяйственной продукции в области животноводства (Закон Оренбургской области от 27 ноября 2003 года №613/70-</w:t>
      </w:r>
      <w:r w:rsidR="00EF428C" w:rsidRPr="00EF428C">
        <w:rPr>
          <w:rFonts w:eastAsia="Calibri"/>
          <w:bCs/>
          <w:sz w:val="28"/>
          <w:szCs w:val="28"/>
          <w:lang w:val="en-US" w:eastAsia="en-US" w:bidi="ru-RU"/>
        </w:rPr>
        <w:t>III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t xml:space="preserve"> –ОЗ «О налоге на имущество организаций».</w:t>
      </w:r>
    </w:p>
    <w:p w:rsidR="00EF428C" w:rsidRPr="00EF428C" w:rsidRDefault="00EF428C" w:rsidP="00CF45E2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EF428C">
        <w:rPr>
          <w:rFonts w:eastAsia="Calibri"/>
          <w:bCs/>
          <w:sz w:val="28"/>
          <w:szCs w:val="28"/>
          <w:lang w:eastAsia="en-US" w:bidi="ru-RU"/>
        </w:rPr>
        <w:t>Исполнение бюджета Александровского района за 1 полугодие 2022 года характеризуется следующими особенностями:</w:t>
      </w:r>
    </w:p>
    <w:p w:rsidR="00EF428C" w:rsidRPr="00EF428C" w:rsidRDefault="00CF45E2" w:rsidP="00CF45E2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- 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t>Ростом поступлений налога на доходы физических лиц, который обеспечен за счет увеличения налога на доходы физических лиц в части суммы налога, превышающей 650,0 тыс. рублей, относящейся к части налоговой базы, превышающей 5,0 млн. рублей;</w:t>
      </w:r>
    </w:p>
    <w:p w:rsidR="00EF428C" w:rsidRPr="00EF428C" w:rsidRDefault="00CF45E2" w:rsidP="00CF45E2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- 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t>снижением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EF428C" w:rsidRPr="00EF428C" w:rsidRDefault="00CF45E2" w:rsidP="00CF45E2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- </w:t>
      </w:r>
      <w:r w:rsidR="00EF428C" w:rsidRPr="00EF428C">
        <w:rPr>
          <w:rFonts w:eastAsia="Calibri"/>
          <w:bCs/>
          <w:sz w:val="28"/>
          <w:szCs w:val="28"/>
          <w:lang w:eastAsia="en-US" w:bidi="ru-RU"/>
        </w:rPr>
        <w:t>приростом поступления акцизов по подакцизным товарам, который главным образом связан с увеличением объемов реализации подакцизной продукции.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На налоговую и бюджетную политику Александровского района на 2023 год и на плановый период 2024 и 2025 годов будут оказывать влияние внешние факторы, прежде всего изменения в федеральном законодательстве:</w:t>
      </w:r>
    </w:p>
    <w:p w:rsidR="000F22E9" w:rsidRPr="000F22E9" w:rsidRDefault="000F22E9" w:rsidP="002E0BBC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1. внедрение института единого налогового счета, который будет предусматривать консолидацию всех обязанностей плательщика по уплате обязательных платежей, регулируемых Налоговым кодексом Российской Федерации, в едином сальдо расчетов с бюджетами бюджетной системы Российской Федерации с их погашением из «налогового кошелька», функционирую</w:t>
      </w:r>
      <w:r w:rsidRPr="000F22E9">
        <w:rPr>
          <w:rFonts w:eastAsia="Calibri"/>
          <w:bCs/>
          <w:sz w:val="28"/>
          <w:szCs w:val="28"/>
          <w:lang w:eastAsia="en-US" w:bidi="ru-RU"/>
        </w:rPr>
        <w:lastRenderedPageBreak/>
        <w:t>щего в виде именного авансового счета, пополняемого плательщиком. Уплата обязательных платежей, регулируемых Налоговым кодексом Российской Федерации, будет осуществляться одним платежным поручением без уточнения вида платежа, срока его уплаты, принадлежности к конкретному бюджету бюджетной системы. При этом будет соблюдена определенная очередность зачета платежей:</w:t>
      </w:r>
    </w:p>
    <w:p w:rsidR="000F22E9" w:rsidRPr="000F22E9" w:rsidRDefault="000F22E9" w:rsidP="002E0BBC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недоимка, начиная с наиболее раннего момента выявления;</w:t>
      </w:r>
    </w:p>
    <w:p w:rsidR="000F22E9" w:rsidRPr="000F22E9" w:rsidRDefault="000F22E9" w:rsidP="002E0BBC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налоги, авансовые платежи по ним, сборы, взносы с момента возникно</w:t>
      </w:r>
      <w:r w:rsidRPr="000F22E9">
        <w:rPr>
          <w:rFonts w:eastAsia="Calibri"/>
          <w:bCs/>
          <w:sz w:val="28"/>
          <w:szCs w:val="28"/>
          <w:lang w:eastAsia="en-US" w:bidi="ru-RU"/>
        </w:rPr>
        <w:softHyphen/>
        <w:t>вения обязанности по уплате;</w:t>
      </w:r>
    </w:p>
    <w:p w:rsidR="000F22E9" w:rsidRPr="000F22E9" w:rsidRDefault="000F22E9" w:rsidP="002E0BBC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пени;</w:t>
      </w:r>
    </w:p>
    <w:p w:rsidR="000F22E9" w:rsidRPr="000F22E9" w:rsidRDefault="000F22E9" w:rsidP="002E0BBC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проценты;</w:t>
      </w:r>
    </w:p>
    <w:p w:rsidR="000F22E9" w:rsidRPr="000F22E9" w:rsidRDefault="000F22E9" w:rsidP="002E0BBC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штрафы;</w:t>
      </w:r>
    </w:p>
    <w:p w:rsidR="002E0BBC" w:rsidRDefault="002E0BBC" w:rsidP="002E0BBC">
      <w:pPr>
        <w:widowControl w:val="0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</w:p>
    <w:p w:rsidR="000F22E9" w:rsidRPr="000F22E9" w:rsidRDefault="002E0BBC" w:rsidP="002E0BBC">
      <w:pPr>
        <w:widowControl w:val="0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>2</w:t>
      </w:r>
      <w:r w:rsidR="000F22E9" w:rsidRPr="000F22E9">
        <w:rPr>
          <w:rFonts w:eastAsia="Calibri"/>
          <w:bCs/>
          <w:sz w:val="28"/>
          <w:szCs w:val="28"/>
          <w:lang w:eastAsia="en-US" w:bidi="ru-RU"/>
        </w:rPr>
        <w:t>. по налогу на прибыль организаций.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С 1 января 2023 года прекращается действие договоров о создании консолидированной группы налогоплательщиков. Распределение поступления соответствующих доходов по налогу на прибыль будет осуществляться на основании нормативов, установленных федеральным законом о федеральном бюджете на 2023 год и на плановый период 2024 и 2025 годов и учитывающих фактические поступления налога на прибыль от участников консолидированных групп налогоплательщиков.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Продление до 2030 года централизации в федеральный бюджет 1 процентного пункта налога на прибыль организаций, подлежащего зачислению в бюджеты субъектов Российской Федерации.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Продление до 2030 года 50-процентного ограничения по переносу убытков, полученных в прошлых налоговых периодах.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С 1 января 2023 года при определении налоговой базы по налогу на при</w:t>
      </w:r>
      <w:r w:rsidRPr="000F22E9">
        <w:rPr>
          <w:rFonts w:eastAsia="Calibri"/>
          <w:bCs/>
          <w:sz w:val="28"/>
          <w:szCs w:val="28"/>
          <w:lang w:eastAsia="en-US" w:bidi="ru-RU"/>
        </w:rPr>
        <w:softHyphen/>
        <w:t>быль организаций не учитываются доходы в виде имущества, безвозмездно полученного организацией, в случае, если законодательством Российской Фе</w:t>
      </w:r>
      <w:r w:rsidRPr="000F22E9">
        <w:rPr>
          <w:rFonts w:eastAsia="Calibri"/>
          <w:bCs/>
          <w:sz w:val="28"/>
          <w:szCs w:val="28"/>
          <w:lang w:eastAsia="en-US" w:bidi="ru-RU"/>
        </w:rPr>
        <w:softHyphen/>
        <w:t>дерации на данную организацию возложена обязанность по принятию в соб</w:t>
      </w:r>
      <w:r w:rsidRPr="000F22E9">
        <w:rPr>
          <w:rFonts w:eastAsia="Calibri"/>
          <w:bCs/>
          <w:sz w:val="28"/>
          <w:szCs w:val="28"/>
          <w:lang w:eastAsia="en-US" w:bidi="ru-RU"/>
        </w:rPr>
        <w:softHyphen/>
        <w:t>ственность такого имущества;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3. по налогу на доходы физических лиц.</w:t>
      </w:r>
    </w:p>
    <w:p w:rsidR="000F22E9" w:rsidRPr="000F22E9" w:rsidRDefault="000F22E9" w:rsidP="002E0BBC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С 1 января 2023 года:</w:t>
      </w:r>
    </w:p>
    <w:p w:rsidR="000F22E9" w:rsidRPr="000F22E9" w:rsidRDefault="000F22E9" w:rsidP="002E0BBC">
      <w:pPr>
        <w:widowControl w:val="0"/>
        <w:ind w:firstLine="782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освобождаются от налогообложения выплаты выходного пособия, среднемесячного заработка на период трудоустройства, а также любые иные компенсационные выплаты при увольнении</w:t>
      </w:r>
      <w:bookmarkStart w:id="0" w:name="_GoBack"/>
      <w:bookmarkEnd w:id="0"/>
      <w:r w:rsidRPr="000F22E9">
        <w:rPr>
          <w:rFonts w:eastAsia="Calibri"/>
          <w:bCs/>
          <w:sz w:val="28"/>
          <w:szCs w:val="28"/>
          <w:lang w:eastAsia="en-US" w:bidi="ru-RU"/>
        </w:rPr>
        <w:t xml:space="preserve"> работника, предусмотренные законодательством;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право на социальный налоговый вычет распространяется на оплату медицинских услуг, оказанных детям (подопечным), признанным судом недее</w:t>
      </w:r>
      <w:r w:rsidRPr="000F22E9">
        <w:rPr>
          <w:rFonts w:eastAsia="Calibri"/>
          <w:bCs/>
          <w:sz w:val="28"/>
          <w:szCs w:val="28"/>
          <w:lang w:eastAsia="en-US" w:bidi="ru-RU"/>
        </w:rPr>
        <w:lastRenderedPageBreak/>
        <w:t>способными, без ограничения по возрасту;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субъектам Российской Федерации предоставляется расширенное право уменьшения предельного (минимального) срока владения недвижимым имуществом для целей освобождения от налогообложения налогом на доходы физических лиц доходов от продажи недвижимого имущества, приобретенного в порядке наследования, в результате приватизации, по договору дарения, а также по договору ренты;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4. по акцизам по подакцизным товарам (продукции), производимым на территории Российской Федерации.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На 2025 год ставки акцизов на подакцизные товары проиндексированы на 4 процента по сравнению с установленными на 2024 год.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Продление на 2025 год норматива зачисления акцизов на нефтепродукты в бюджеты субъектов Российской Федерации, действовавшего в 2024 году;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5. по специальным налоговым режимам.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С 1 января 2023 года организации и индивидуальные предприниматели, осуществляющие производство ювелирных и других изделий из драгоценных металлов или оптовую (розничную) торговлю ювелирными и другими изделиями из драгоценных металлов, не вправе применять упрощенную и патентные системы налогообложения;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6. по налогу на имущество организаций.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С 1 января 2023 года субъектам Российской Федерации предоставлено право устанавливать дифференцированные ставки налога только в зависимо</w:t>
      </w:r>
      <w:r w:rsidRPr="000F22E9">
        <w:rPr>
          <w:rFonts w:eastAsia="Calibri"/>
          <w:bCs/>
          <w:sz w:val="28"/>
          <w:szCs w:val="28"/>
          <w:lang w:eastAsia="en-US" w:bidi="ru-RU"/>
        </w:rPr>
        <w:softHyphen/>
        <w:t>сти от вида недвижимости, облагаемой налогом на имущество или его кадастровой стоимости. Дифференциация налоговых ставок в зависимости от категорий налогоплательщиков или категорий имущества, в том числе в зависимо</w:t>
      </w:r>
      <w:r w:rsidRPr="000F22E9">
        <w:rPr>
          <w:rFonts w:eastAsia="Calibri"/>
          <w:bCs/>
          <w:sz w:val="28"/>
          <w:szCs w:val="28"/>
          <w:lang w:eastAsia="en-US" w:bidi="ru-RU"/>
        </w:rPr>
        <w:softHyphen/>
        <w:t>сти от площади имущества, не допускается.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В случае если кадастровая стоимость объекта недвижимого имущества, внесенная в Единый государственный реестр недвижимости и подлежащая применению с 1 января 2023 года, превышает показатель, сложившийся по со</w:t>
      </w:r>
      <w:r w:rsidRPr="000F22E9">
        <w:rPr>
          <w:rFonts w:eastAsia="Calibri"/>
          <w:bCs/>
          <w:sz w:val="28"/>
          <w:szCs w:val="28"/>
          <w:lang w:eastAsia="en-US" w:bidi="ru-RU"/>
        </w:rPr>
        <w:softHyphen/>
        <w:t>стоянию на 1 января 2022 года, налог на имущество организаций за 2023 год рассчитывается исходя из кадастровой стоимости из Единого государственного реестра недвижимости, применяемой с 1 января 2022 года (за исключе</w:t>
      </w:r>
      <w:r w:rsidRPr="000F22E9">
        <w:rPr>
          <w:rFonts w:eastAsia="Calibri"/>
          <w:bCs/>
          <w:sz w:val="28"/>
          <w:szCs w:val="28"/>
          <w:lang w:eastAsia="en-US" w:bidi="ru-RU"/>
        </w:rPr>
        <w:softHyphen/>
        <w:t>нием, если стоимость объекта увеличилась из-за изменения его характеристик).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 xml:space="preserve">В 2023 году в отношении железнодорожных путей общего пользования </w:t>
      </w:r>
      <w:r w:rsidRPr="000F22E9">
        <w:rPr>
          <w:rFonts w:eastAsia="Calibri"/>
          <w:bCs/>
          <w:sz w:val="28"/>
          <w:szCs w:val="28"/>
          <w:lang w:eastAsia="en-US" w:bidi="ru-RU"/>
        </w:rPr>
        <w:lastRenderedPageBreak/>
        <w:t>и сооружений, являющихся их неотъемлемой технологической частью, приме</w:t>
      </w:r>
      <w:r w:rsidRPr="000F22E9">
        <w:rPr>
          <w:rFonts w:eastAsia="Calibri"/>
          <w:bCs/>
          <w:sz w:val="28"/>
          <w:szCs w:val="28"/>
          <w:lang w:eastAsia="en-US" w:bidi="ru-RU"/>
        </w:rPr>
        <w:softHyphen/>
        <w:t>няется пониженная ставка налога на имущество организаций в размере 1,6 процента.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С 1 января 2023 года не включаются в налоговую декларацию налого</w:t>
      </w:r>
      <w:r w:rsidRPr="000F22E9">
        <w:rPr>
          <w:rFonts w:eastAsia="Calibri"/>
          <w:bCs/>
          <w:sz w:val="28"/>
          <w:szCs w:val="28"/>
          <w:lang w:eastAsia="en-US" w:bidi="ru-RU"/>
        </w:rPr>
        <w:softHyphen/>
        <w:t>плательщиков - российских организаций сведения об объектах налогообложе</w:t>
      </w:r>
      <w:r w:rsidRPr="000F22E9">
        <w:rPr>
          <w:rFonts w:eastAsia="Calibri"/>
          <w:bCs/>
          <w:sz w:val="28"/>
          <w:szCs w:val="28"/>
          <w:lang w:eastAsia="en-US" w:bidi="ru-RU"/>
        </w:rPr>
        <w:softHyphen/>
        <w:t>ния, налоговая база по которым определяется как их кадастровая стоимость;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7. по земельному налогу.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В случае если кадастровая стоимость земельного участка, внесенная в Единый государственный реестр недвижимости и подлежащая применению с 1 января 2023 года, превышает показатель, сложившийся по состоянию на 1 января 2022 года, земельный налог за 2023 год рассчитывается исходя из ка</w:t>
      </w:r>
      <w:r w:rsidRPr="000F22E9">
        <w:rPr>
          <w:rFonts w:eastAsia="Calibri"/>
          <w:bCs/>
          <w:sz w:val="28"/>
          <w:szCs w:val="28"/>
          <w:lang w:eastAsia="en-US" w:bidi="ru-RU"/>
        </w:rPr>
        <w:softHyphen/>
        <w:t>дастровой стоимости такого земельного участка из Единого государственного реестра недвижимости, применяемой с 1 января 2022 года (за исключением, если кадастровая стоимость земельного участка увеличилась из-за изменения его характеристик);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8. по государственной пошлине.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С 1 января 2023 года вводятся новые государственные пошлины: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за выдачу разрешения на внесение изменений в конструкцию колесного транспортного средства - 1 000 рублей;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за выдачу свидетельства о допуске транспортных средств к перевозке опасных грузов - 1 500 рублей, за продление срока действия такого свидетельства - 1 000 рублей.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С 2023 года увеличен размер госпошлины с 800 до 1 500 рублей за выдачу свидетельства о соответствии транспортного средства с внесенными в его конструкцию изменениями требованиям безопасности;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9. по штрафам и взысканиям.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С 1 января 2023 года суммы пеней, штрафов, процентов, предусмотренные законодательством о налогах и сборах, будут определяться суммарно по налогоплательщику (без выделения отдельных видов налогов);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 xml:space="preserve">10. С 1 января 2023 года предполагается введение универсального пособия для семей с низкими доходами, объединяющего целый ряд действующих мер социальной поддержки, в том числе на детей от трех до семи лет и от </w:t>
      </w:r>
      <w:r w:rsidRPr="000F22E9">
        <w:rPr>
          <w:rFonts w:eastAsia="Calibri"/>
          <w:bCs/>
          <w:sz w:val="28"/>
          <w:szCs w:val="28"/>
          <w:lang w:eastAsia="en-US" w:bidi="ru-RU"/>
        </w:rPr>
        <w:lastRenderedPageBreak/>
        <w:t>восьми до семнадцати лет, с применением комплексной оценки нуждаемости.</w:t>
      </w:r>
    </w:p>
    <w:p w:rsidR="000F22E9" w:rsidRPr="000F22E9" w:rsidRDefault="000F22E9" w:rsidP="00CF45E2">
      <w:pPr>
        <w:widowControl w:val="0"/>
        <w:spacing w:after="333"/>
        <w:ind w:firstLine="780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0F22E9">
        <w:rPr>
          <w:rFonts w:eastAsia="Calibri"/>
          <w:bCs/>
          <w:sz w:val="28"/>
          <w:szCs w:val="28"/>
          <w:lang w:eastAsia="en-US" w:bidi="ru-RU"/>
        </w:rPr>
        <w:t>Приоритетным остается сохранение в 2023-2025 годах достигнутого со</w:t>
      </w:r>
      <w:r w:rsidRPr="000F22E9">
        <w:rPr>
          <w:rFonts w:eastAsia="Calibri"/>
          <w:bCs/>
          <w:sz w:val="28"/>
          <w:szCs w:val="28"/>
          <w:lang w:eastAsia="en-US" w:bidi="ru-RU"/>
        </w:rPr>
        <w:softHyphen/>
        <w:t>отношения между уровнем оплаты отдельных категорий работников бюджетной сферы и уровнем среднемесячного дохода от трудовой деятельности в Оренбургской области.</w:t>
      </w:r>
    </w:p>
    <w:p w:rsidR="00F20389" w:rsidRPr="00C501C6" w:rsidRDefault="00F20389" w:rsidP="00CF45E2">
      <w:pPr>
        <w:widowControl w:val="0"/>
        <w:spacing w:after="333"/>
        <w:ind w:firstLine="7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_______________________________________</w:t>
      </w:r>
    </w:p>
    <w:p w:rsidR="001661C1" w:rsidRPr="00E41D24" w:rsidRDefault="001661C1" w:rsidP="00CF45E2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</w:pPr>
    </w:p>
    <w:sectPr w:rsidR="001661C1" w:rsidRPr="00E41D24" w:rsidSect="004B5A1C">
      <w:headerReference w:type="default" r:id="rId8"/>
      <w:pgSz w:w="11906" w:h="16838" w:code="9"/>
      <w:pgMar w:top="1276" w:right="849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20" w:rsidRDefault="00EC5920" w:rsidP="004B5A1C">
      <w:r>
        <w:separator/>
      </w:r>
    </w:p>
  </w:endnote>
  <w:endnote w:type="continuationSeparator" w:id="0">
    <w:p w:rsidR="00EC5920" w:rsidRDefault="00EC5920" w:rsidP="004B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20" w:rsidRDefault="00EC5920" w:rsidP="004B5A1C">
      <w:r>
        <w:separator/>
      </w:r>
    </w:p>
  </w:footnote>
  <w:footnote w:type="continuationSeparator" w:id="0">
    <w:p w:rsidR="00EC5920" w:rsidRDefault="00EC5920" w:rsidP="004B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07720"/>
      <w:docPartObj>
        <w:docPartGallery w:val="Page Numbers (Top of Page)"/>
        <w:docPartUnique/>
      </w:docPartObj>
    </w:sdtPr>
    <w:sdtEndPr/>
    <w:sdtContent>
      <w:p w:rsidR="003B4099" w:rsidRDefault="00051E8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B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4099" w:rsidRDefault="003B40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506D2"/>
    <w:multiLevelType w:val="hybridMultilevel"/>
    <w:tmpl w:val="D94827A0"/>
    <w:lvl w:ilvl="0" w:tplc="2A30DBE8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23768"/>
    <w:multiLevelType w:val="hybridMultilevel"/>
    <w:tmpl w:val="FE44FE9C"/>
    <w:lvl w:ilvl="0" w:tplc="882C8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CA4"/>
    <w:rsid w:val="00005436"/>
    <w:rsid w:val="00010AD3"/>
    <w:rsid w:val="0002172F"/>
    <w:rsid w:val="00051E84"/>
    <w:rsid w:val="00077D5C"/>
    <w:rsid w:val="000F22E9"/>
    <w:rsid w:val="0010304E"/>
    <w:rsid w:val="00114DF6"/>
    <w:rsid w:val="00135D0C"/>
    <w:rsid w:val="001661C1"/>
    <w:rsid w:val="00184583"/>
    <w:rsid w:val="001A48F4"/>
    <w:rsid w:val="001A70DA"/>
    <w:rsid w:val="001C6A28"/>
    <w:rsid w:val="001D25DD"/>
    <w:rsid w:val="00231C54"/>
    <w:rsid w:val="00260FE9"/>
    <w:rsid w:val="00280A3B"/>
    <w:rsid w:val="002B1D5A"/>
    <w:rsid w:val="002E0BBC"/>
    <w:rsid w:val="002E54C1"/>
    <w:rsid w:val="003044B9"/>
    <w:rsid w:val="0034789E"/>
    <w:rsid w:val="00374CAE"/>
    <w:rsid w:val="00374F84"/>
    <w:rsid w:val="00390625"/>
    <w:rsid w:val="003B4099"/>
    <w:rsid w:val="003B7A93"/>
    <w:rsid w:val="003D35EA"/>
    <w:rsid w:val="003E5760"/>
    <w:rsid w:val="003F53C5"/>
    <w:rsid w:val="00402B77"/>
    <w:rsid w:val="004047E8"/>
    <w:rsid w:val="004174EC"/>
    <w:rsid w:val="00425E3A"/>
    <w:rsid w:val="004479A6"/>
    <w:rsid w:val="00454673"/>
    <w:rsid w:val="00457A91"/>
    <w:rsid w:val="0046178D"/>
    <w:rsid w:val="0048579F"/>
    <w:rsid w:val="004B5A1C"/>
    <w:rsid w:val="004D712B"/>
    <w:rsid w:val="004E1B44"/>
    <w:rsid w:val="00500AD2"/>
    <w:rsid w:val="00506356"/>
    <w:rsid w:val="00551670"/>
    <w:rsid w:val="00560FE3"/>
    <w:rsid w:val="00565244"/>
    <w:rsid w:val="00566838"/>
    <w:rsid w:val="00576DE2"/>
    <w:rsid w:val="005B1F23"/>
    <w:rsid w:val="006248AE"/>
    <w:rsid w:val="00627A25"/>
    <w:rsid w:val="00634CE2"/>
    <w:rsid w:val="006448DA"/>
    <w:rsid w:val="00651C04"/>
    <w:rsid w:val="006C2CA4"/>
    <w:rsid w:val="00745440"/>
    <w:rsid w:val="007468A5"/>
    <w:rsid w:val="007A17CF"/>
    <w:rsid w:val="007E1430"/>
    <w:rsid w:val="00812153"/>
    <w:rsid w:val="00823ABB"/>
    <w:rsid w:val="00825BBA"/>
    <w:rsid w:val="00883701"/>
    <w:rsid w:val="008B6C1C"/>
    <w:rsid w:val="00912FF0"/>
    <w:rsid w:val="00916F2A"/>
    <w:rsid w:val="00943609"/>
    <w:rsid w:val="00944E86"/>
    <w:rsid w:val="009601C9"/>
    <w:rsid w:val="009974E6"/>
    <w:rsid w:val="009A4F5B"/>
    <w:rsid w:val="009B4E3E"/>
    <w:rsid w:val="009C4C8A"/>
    <w:rsid w:val="009D043A"/>
    <w:rsid w:val="009E5F69"/>
    <w:rsid w:val="00A630AA"/>
    <w:rsid w:val="00AA0947"/>
    <w:rsid w:val="00AA6B0D"/>
    <w:rsid w:val="00AC0670"/>
    <w:rsid w:val="00AC3609"/>
    <w:rsid w:val="00B372F2"/>
    <w:rsid w:val="00B54BD8"/>
    <w:rsid w:val="00B6150A"/>
    <w:rsid w:val="00B6466F"/>
    <w:rsid w:val="00BC1710"/>
    <w:rsid w:val="00BD7B78"/>
    <w:rsid w:val="00BF39FC"/>
    <w:rsid w:val="00C501C6"/>
    <w:rsid w:val="00C9070B"/>
    <w:rsid w:val="00CA3875"/>
    <w:rsid w:val="00CA3934"/>
    <w:rsid w:val="00CD354D"/>
    <w:rsid w:val="00CE74B0"/>
    <w:rsid w:val="00CF45E2"/>
    <w:rsid w:val="00CF544D"/>
    <w:rsid w:val="00D87549"/>
    <w:rsid w:val="00D9513C"/>
    <w:rsid w:val="00DA06F3"/>
    <w:rsid w:val="00DB1169"/>
    <w:rsid w:val="00DB3957"/>
    <w:rsid w:val="00DC3416"/>
    <w:rsid w:val="00E22839"/>
    <w:rsid w:val="00E41D24"/>
    <w:rsid w:val="00E51B73"/>
    <w:rsid w:val="00E6359E"/>
    <w:rsid w:val="00E70830"/>
    <w:rsid w:val="00E8148E"/>
    <w:rsid w:val="00E928A0"/>
    <w:rsid w:val="00EA3C73"/>
    <w:rsid w:val="00EC5920"/>
    <w:rsid w:val="00ED18A4"/>
    <w:rsid w:val="00EF428C"/>
    <w:rsid w:val="00F20389"/>
    <w:rsid w:val="00F21D56"/>
    <w:rsid w:val="00F822A0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51940-7C13-4F61-A0F1-6085010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D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link w:val="Normal"/>
    <w:rsid w:val="006C2C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4"/>
    <w:rsid w:val="006C2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6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7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D354D"/>
    <w:rPr>
      <w:color w:val="0000FF" w:themeColor="hyperlink"/>
      <w:u w:val="single"/>
    </w:rPr>
  </w:style>
  <w:style w:type="paragraph" w:customStyle="1" w:styleId="ConsPlusNormal">
    <w:name w:val="ConsPlusNormal"/>
    <w:rsid w:val="00960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B5A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5A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5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4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04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6DE2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576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76D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E1C5-08D2-4287-A14F-D48A9ED7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Kabanova</cp:lastModifiedBy>
  <cp:revision>27</cp:revision>
  <cp:lastPrinted>2022-11-23T10:16:00Z</cp:lastPrinted>
  <dcterms:created xsi:type="dcterms:W3CDTF">2017-01-10T11:36:00Z</dcterms:created>
  <dcterms:modified xsi:type="dcterms:W3CDTF">2022-11-23T10:16:00Z</dcterms:modified>
</cp:coreProperties>
</file>